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0" w:rsidRPr="00306E60" w:rsidRDefault="00306E60" w:rsidP="00E745AA">
      <w:pPr>
        <w:jc w:val="center"/>
        <w:rPr>
          <w:sz w:val="40"/>
          <w:szCs w:val="40"/>
        </w:rPr>
      </w:pPr>
      <w:r w:rsidRPr="00306E60">
        <w:rPr>
          <w:sz w:val="40"/>
          <w:szCs w:val="40"/>
        </w:rPr>
        <w:t xml:space="preserve">Як діяти родині, </w:t>
      </w:r>
      <w:proofErr w:type="gramStart"/>
      <w:r w:rsidRPr="00306E60">
        <w:rPr>
          <w:sz w:val="40"/>
          <w:szCs w:val="40"/>
        </w:rPr>
        <w:t>в</w:t>
      </w:r>
      <w:proofErr w:type="gramEnd"/>
      <w:r w:rsidRPr="00306E60">
        <w:rPr>
          <w:sz w:val="40"/>
          <w:szCs w:val="40"/>
        </w:rPr>
        <w:t xml:space="preserve"> якій є зниклий безвісти через війну: відповіді на найпоширеніші питання</w:t>
      </w: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54"/>
        <w:gridCol w:w="5532"/>
        <w:gridCol w:w="3246"/>
      </w:tblGrid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b/>
                <w:bCs/>
                <w:sz w:val="24"/>
                <w:szCs w:val="24"/>
              </w:rPr>
              <w:t>Проблемне питання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b/>
                <w:bCs/>
                <w:sz w:val="24"/>
                <w:szCs w:val="24"/>
              </w:rPr>
              <w:t>Спосіб вирішення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b/>
                <w:bCs/>
                <w:sz w:val="24"/>
                <w:szCs w:val="24"/>
              </w:rPr>
              <w:t>Посилання на нормативний акт</w:t>
            </w:r>
          </w:p>
        </w:tc>
      </w:tr>
      <w:tr w:rsidR="00306E60" w:rsidRPr="00E62E4B" w:rsidTr="00E745AA">
        <w:trPr>
          <w:trHeight w:val="1943"/>
        </w:trPr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1.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Не надане сповіщення про зникнення ВС безвісти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Звернутись до ТЦК та СП за місцем свого проживання з письмовою заявою про видачу спові</w:t>
            </w:r>
            <w:proofErr w:type="gramStart"/>
            <w:r w:rsidRPr="00E62E4B">
              <w:rPr>
                <w:sz w:val="24"/>
                <w:szCs w:val="24"/>
              </w:rPr>
              <w:t>щення</w:t>
            </w:r>
            <w:proofErr w:type="gramEnd"/>
            <w:r w:rsidRPr="00E62E4B">
              <w:rPr>
                <w:sz w:val="24"/>
                <w:szCs w:val="24"/>
              </w:rPr>
              <w:t xml:space="preserve"> про зникнення особи безвісти. Якщо сповіщення видане іншому члену сі</w:t>
            </w:r>
            <w:proofErr w:type="gramStart"/>
            <w:r w:rsidRPr="00E62E4B">
              <w:rPr>
                <w:sz w:val="24"/>
                <w:szCs w:val="24"/>
              </w:rPr>
              <w:t>м</w:t>
            </w:r>
            <w:proofErr w:type="gramEnd"/>
            <w:r w:rsidRPr="00E62E4B">
              <w:rPr>
                <w:sz w:val="24"/>
                <w:szCs w:val="24"/>
              </w:rPr>
              <w:t>'ї, подати заяву про видачу дублікату сповіщення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Інструкція з організації </w:t>
            </w:r>
            <w:proofErr w:type="gramStart"/>
            <w:r w:rsidRPr="00E62E4B">
              <w:rPr>
                <w:sz w:val="24"/>
                <w:szCs w:val="24"/>
              </w:rPr>
              <w:t>обл</w:t>
            </w:r>
            <w:proofErr w:type="gramEnd"/>
            <w:r w:rsidRPr="00E62E4B">
              <w:rPr>
                <w:sz w:val="24"/>
                <w:szCs w:val="24"/>
              </w:rPr>
              <w:t>іку особового складу в системі Міністерства оборони України, затв. наказом Міноборони України №280 від 15.09.2022р.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2.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Не надано акт службового розслідування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Звернутись до ТЦК та СП за місцем свого проживання з письмовою заявою </w:t>
            </w:r>
            <w:proofErr w:type="gramStart"/>
            <w:r w:rsidRPr="00E62E4B">
              <w:rPr>
                <w:sz w:val="24"/>
                <w:szCs w:val="24"/>
              </w:rPr>
              <w:t>на</w:t>
            </w:r>
            <w:proofErr w:type="gramEnd"/>
            <w:r w:rsidRPr="00E62E4B">
              <w:rPr>
                <w:sz w:val="24"/>
                <w:szCs w:val="24"/>
              </w:rPr>
              <w:t xml:space="preserve"> адресу ВЧ про видачу копії акту службового розслідування.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Якщо протягом 30 календарних днів з дати надання заяви до ТЦК та СП акт службового розслідування не отриманий, звернутись з заявою про видачу акту до Генерального штабу Збройних Сил України.</w:t>
            </w:r>
            <w:proofErr w:type="gramEnd"/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звернення громадян"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Варто пам'ятати, що Акт службового розслідування може бути не виданий або виданий витяг з Акту, якщо в ньому міститься інформація з обмеженим доступом.</w:t>
            </w:r>
          </w:p>
        </w:tc>
      </w:tr>
      <w:tr w:rsidR="00306E60" w:rsidRPr="00E62E4B" w:rsidTr="00E745AA">
        <w:trPr>
          <w:trHeight w:val="2898"/>
        </w:trPr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Pr="00E62E4B">
              <w:rPr>
                <w:sz w:val="24"/>
                <w:szCs w:val="24"/>
              </w:rPr>
              <w:t>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До сповіщення ТЦК або до акту службового розслідування внесено помилкові/</w:t>
            </w:r>
            <w:proofErr w:type="gramStart"/>
            <w:r w:rsidRPr="00E62E4B">
              <w:rPr>
                <w:sz w:val="24"/>
                <w:szCs w:val="24"/>
              </w:rPr>
              <w:t>неправдив</w:t>
            </w:r>
            <w:proofErr w:type="gramEnd"/>
            <w:r w:rsidRPr="00E62E4B">
              <w:rPr>
                <w:sz w:val="24"/>
                <w:szCs w:val="24"/>
              </w:rPr>
              <w:t>і відомості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Звернутись до</w:t>
            </w:r>
            <w:proofErr w:type="gramStart"/>
            <w:r w:rsidRPr="00E62E4B">
              <w:rPr>
                <w:sz w:val="24"/>
                <w:szCs w:val="24"/>
              </w:rPr>
              <w:t xml:space="preserve"> В</w:t>
            </w:r>
            <w:proofErr w:type="gramEnd"/>
            <w:r w:rsidRPr="00E62E4B">
              <w:rPr>
                <w:sz w:val="24"/>
                <w:szCs w:val="24"/>
              </w:rPr>
              <w:t>ійськової частини шляхом подання письмової заяви до ТЦК та СП за місцем свого проживання про внесення виправлень до сповіщення або акту службового розслідування на надання відповідного документу в новій редакції. У разі відмови або ненадходження документу з виправленнями, звернутись з відповідною скаргою до Генерального штабу ЗС України.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Дисциплінарний статут Збройних Сил України,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Порядок проведення службового розслідування у Збройних </w:t>
            </w:r>
            <w:proofErr w:type="gramStart"/>
            <w:r w:rsidRPr="00E62E4B">
              <w:rPr>
                <w:sz w:val="24"/>
                <w:szCs w:val="24"/>
              </w:rPr>
              <w:t>Силах</w:t>
            </w:r>
            <w:proofErr w:type="gramEnd"/>
            <w:r w:rsidRPr="00E62E4B">
              <w:rPr>
                <w:sz w:val="24"/>
                <w:szCs w:val="24"/>
              </w:rPr>
              <w:t xml:space="preserve"> України, затв. наказом Міноборони України №608 від 27.11.2017р.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4.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Відсутність інформації про слідчого, який розслідує кримінальне провадження та його контакти/ слідчий не реагує на письмові заяви та клопотання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Звернутись за телефонами відповідальних працівників Національної поліції </w:t>
            </w: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відповідній області (за місцем подання заяви або за місцем зникнення людини), наданими Регіональними координаторами. Повідомити власне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 xml:space="preserve">ІБ, ступінь родинних відносин зі зниклим безвісти, номер кримінального провадження та, за необхідності, інші відомості з витягу з ЄРДР. Отримати відомості про: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ІБ слідчого, найменування органу Національної поліції/СБУ, адресу слідчого та (за наявності) номер телефону.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Положення про Консультативну раду Уповноваженого з питань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>, зниклих безвісти за особливих обставин, затв. наказом Мінреінтеграції №186 від 16.08.2022р.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5.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Оформлення виплати щомісячного грошового </w:t>
            </w:r>
            <w:r w:rsidRPr="00E62E4B">
              <w:rPr>
                <w:sz w:val="24"/>
                <w:szCs w:val="24"/>
              </w:rPr>
              <w:lastRenderedPageBreak/>
              <w:t>забезпечення ВС, зниклого безвісти за особливих обставин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Звернутись до ТЦК та СП за місцем свого проживання, подати заяву встановленої форми </w:t>
            </w:r>
            <w:r w:rsidRPr="00E62E4B">
              <w:rPr>
                <w:sz w:val="24"/>
                <w:szCs w:val="24"/>
              </w:rPr>
              <w:lastRenderedPageBreak/>
              <w:t>(надасть ТЦК). При собі мати наступні документи: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копії сторінок паспорта повнолітніх членів сім’ї з даними про </w:t>
            </w:r>
            <w:proofErr w:type="gramStart"/>
            <w:r w:rsidRPr="00E62E4B">
              <w:rPr>
                <w:sz w:val="24"/>
                <w:szCs w:val="24"/>
              </w:rPr>
              <w:t>пр</w:t>
            </w:r>
            <w:proofErr w:type="gramEnd"/>
            <w:r w:rsidRPr="00E62E4B">
              <w:rPr>
                <w:sz w:val="24"/>
                <w:szCs w:val="24"/>
              </w:rPr>
              <w:t>ізвище, ім’я та по батькові і реєстрацію місця проживання (перебування);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-довідку про реєстрацію місця проживання (перебування) членів сім’ї (</w:t>
            </w: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разі відсутності такої інформації в паспорті);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копію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ідоцтва про шлюб (у разі наявності);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копії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 про народження дітей (у разі наявності);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копії довідки про присвоєння індивідуального податкового номера.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Закон України "Про </w:t>
            </w:r>
            <w:proofErr w:type="gramStart"/>
            <w:r w:rsidRPr="00E62E4B">
              <w:rPr>
                <w:sz w:val="24"/>
                <w:szCs w:val="24"/>
              </w:rPr>
              <w:t>соц</w:t>
            </w:r>
            <w:proofErr w:type="gramEnd"/>
            <w:r w:rsidRPr="00E62E4B">
              <w:rPr>
                <w:sz w:val="24"/>
                <w:szCs w:val="24"/>
              </w:rPr>
              <w:t xml:space="preserve">іальний і правовий захист </w:t>
            </w:r>
            <w:r w:rsidRPr="00E62E4B">
              <w:rPr>
                <w:sz w:val="24"/>
                <w:szCs w:val="24"/>
              </w:rPr>
              <w:lastRenderedPageBreak/>
              <w:t>військовослужбовців та членів їх сімей"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Постанова КМ України від 28.02.2022р. №168 "Питання деяких виплат військовослужбовцям, особам рядового і начальницького складу, поліцейським та їх сім'ям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ід час дії воєнного стану"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Оформлення виплати одноразового грошового забезпечення у зв'язку зі смертю ВС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Звернутись до ТЦК та СП за місцем свого проживання, подати заяву встановленої форми (надасть ТЦК). При собі мати наступні документи: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ідоцтво про смерть ВС;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лікарське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ідоцтво про смерть ВС (видається бюро СМЕ);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копії сторінок паспорта повнолітніх членів сім’ї з </w:t>
            </w:r>
            <w:r w:rsidRPr="00E62E4B">
              <w:rPr>
                <w:sz w:val="24"/>
                <w:szCs w:val="24"/>
              </w:rPr>
              <w:lastRenderedPageBreak/>
              <w:t xml:space="preserve">даними про </w:t>
            </w:r>
            <w:proofErr w:type="gramStart"/>
            <w:r w:rsidRPr="00E62E4B">
              <w:rPr>
                <w:sz w:val="24"/>
                <w:szCs w:val="24"/>
              </w:rPr>
              <w:t>пр</w:t>
            </w:r>
            <w:proofErr w:type="gramEnd"/>
            <w:r w:rsidRPr="00E62E4B">
              <w:rPr>
                <w:sz w:val="24"/>
                <w:szCs w:val="24"/>
              </w:rPr>
              <w:t>ізвище, ім’я та по батькові і реєстрацію місця проживання (перебування);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-довідку про реєстрацію місця проживання (перебування) членів сім’ї (</w:t>
            </w: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разі відсутності такої інформації в паспорті);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копію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ідоцтва про шлюб (у разі наявності);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копії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 про народження дітей (у разі наявності);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копії довідки про присвоєння індивідуального податкового номера.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Закон України "Про </w:t>
            </w:r>
            <w:proofErr w:type="gramStart"/>
            <w:r w:rsidRPr="00E62E4B">
              <w:rPr>
                <w:sz w:val="24"/>
                <w:szCs w:val="24"/>
              </w:rPr>
              <w:t>соц</w:t>
            </w:r>
            <w:proofErr w:type="gramEnd"/>
            <w:r w:rsidRPr="00E62E4B">
              <w:rPr>
                <w:sz w:val="24"/>
                <w:szCs w:val="24"/>
              </w:rPr>
              <w:t>іальний і правовий захист військовослужбовців та членів їх сімей"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Постанова КМ України від 28.02.2022р. №168 "Питання деяких виплат військовослужбовцям, </w:t>
            </w:r>
            <w:r w:rsidRPr="00E62E4B">
              <w:rPr>
                <w:sz w:val="24"/>
                <w:szCs w:val="24"/>
              </w:rPr>
              <w:lastRenderedPageBreak/>
              <w:t xml:space="preserve">особам рядового і начальницького складу, поліцейським та їх сім'ям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ід час дії воєнного стану"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Зниклу безвісти особу впізнано на фот</w:t>
            </w:r>
            <w:proofErr w:type="gramStart"/>
            <w:r w:rsidRPr="00E62E4B">
              <w:rPr>
                <w:sz w:val="24"/>
                <w:szCs w:val="24"/>
              </w:rPr>
              <w:t>о-</w:t>
            </w:r>
            <w:proofErr w:type="gramEnd"/>
            <w:r w:rsidRPr="00E62E4B">
              <w:rPr>
                <w:sz w:val="24"/>
                <w:szCs w:val="24"/>
              </w:rPr>
              <w:t>, відеозаписах (живу чи загиблу)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Звернення до слідчого, який розслідує кримінальне провадження з клопотанням про призначення портретної експертизи. До клопотання додати: наявні фото та відеозаписи з </w:t>
            </w:r>
            <w:proofErr w:type="gramStart"/>
            <w:r w:rsidRPr="00E62E4B">
              <w:rPr>
                <w:sz w:val="24"/>
                <w:szCs w:val="24"/>
              </w:rPr>
              <w:t>особою</w:t>
            </w:r>
            <w:proofErr w:type="gramEnd"/>
            <w:r w:rsidRPr="00E62E4B">
              <w:rPr>
                <w:sz w:val="24"/>
                <w:szCs w:val="24"/>
              </w:rPr>
              <w:t>, за якими можливо точно ідентифікувати особу.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Протягом 3 робочих днів слідчий або призначає експертизу, або відмовляє в її призначенні та надає постанову </w:t>
            </w:r>
            <w:proofErr w:type="gramStart"/>
            <w:r w:rsidRPr="00E62E4B">
              <w:rPr>
                <w:sz w:val="24"/>
                <w:szCs w:val="24"/>
              </w:rPr>
              <w:t>про</w:t>
            </w:r>
            <w:proofErr w:type="gramEnd"/>
            <w:r w:rsidRPr="00E62E4B">
              <w:rPr>
                <w:sz w:val="24"/>
                <w:szCs w:val="24"/>
              </w:rPr>
              <w:t xml:space="preserve"> відмову.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За результатами експертизи надати копію висновку експерта до НІБ та Уповноваженого з питань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 xml:space="preserve">, </w:t>
            </w:r>
            <w:r w:rsidRPr="00E62E4B">
              <w:rPr>
                <w:sz w:val="24"/>
                <w:szCs w:val="24"/>
              </w:rPr>
              <w:lastRenderedPageBreak/>
              <w:t>зниклих безвісти за особливих обставин.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Кримінальний процесуальний кодекс України,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Науково-методичні рекомендації з питань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 xml:space="preserve">ідготовки та призначення судових експертиз та експертних досліджень, затв. наказом Міністерства юстиції України від 8.10.1998р. </w:t>
            </w:r>
            <w:r w:rsidRPr="00E62E4B">
              <w:rPr>
                <w:sz w:val="24"/>
                <w:szCs w:val="24"/>
              </w:rPr>
              <w:lastRenderedPageBreak/>
              <w:t>№53/5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Надійшов телефонний дзвінок/смс-повідомлення/зафіксовано вихід в </w:t>
            </w:r>
            <w:proofErr w:type="gramStart"/>
            <w:r w:rsidRPr="00E62E4B">
              <w:rPr>
                <w:sz w:val="24"/>
                <w:szCs w:val="24"/>
              </w:rPr>
              <w:t>соц</w:t>
            </w:r>
            <w:proofErr w:type="gramEnd"/>
            <w:r w:rsidRPr="00E62E4B">
              <w:rPr>
                <w:sz w:val="24"/>
                <w:szCs w:val="24"/>
              </w:rPr>
              <w:t>іальні мережі з телефону зниклого безвісти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Звернення до слідчого, який розслідує кримінальне провадження з клопотанням про встановлення місця знаходження радіоелектронного засобу.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Протягом 3 робочих днів слідчий або звертається </w:t>
            </w:r>
            <w:proofErr w:type="gramStart"/>
            <w:r w:rsidRPr="00E62E4B">
              <w:rPr>
                <w:sz w:val="24"/>
                <w:szCs w:val="24"/>
              </w:rPr>
              <w:t>до</w:t>
            </w:r>
            <w:proofErr w:type="gramEnd"/>
            <w:r w:rsidRPr="00E62E4B">
              <w:rPr>
                <w:sz w:val="24"/>
                <w:szCs w:val="24"/>
              </w:rPr>
              <w:t xml:space="preserve"> суду з наданням дозволу на отримання інформації від операторів мобільного зв'язку, або відмовляє у задоволенні клопотання та надає постанову про відмову.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За результатами отримання інформації, надати отримані відомості до НІБ та Уповноваженому з питань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>, зниклих безвісти за особливих обставин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Кримінальний процесуальний кодекс України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оперативно-розшукову діяльність"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9.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Звільнений полонений повідомляє про перебування особи, зниклої безвісти, </w:t>
            </w:r>
            <w:proofErr w:type="gramStart"/>
            <w:r w:rsidRPr="00E62E4B">
              <w:rPr>
                <w:sz w:val="24"/>
                <w:szCs w:val="24"/>
              </w:rPr>
              <w:t>в</w:t>
            </w:r>
            <w:proofErr w:type="gramEnd"/>
            <w:r w:rsidRPr="00E62E4B">
              <w:rPr>
                <w:sz w:val="24"/>
                <w:szCs w:val="24"/>
              </w:rPr>
              <w:t xml:space="preserve"> полоні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Звернення до слідчого, який розслідує кримінальне провадження з клопотанням про допит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 xml:space="preserve">ідка. Якщо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ідок знаходиться в іншому адміністративно-територіальному пункті, слідчий надає доручення працівникам поліції за місцем знаходження свідка про його допит із зазначенням запитань.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Протягом 3 робочих днів слідчий або допитує особу </w:t>
            </w:r>
            <w:r w:rsidRPr="00E62E4B">
              <w:rPr>
                <w:sz w:val="24"/>
                <w:szCs w:val="24"/>
              </w:rPr>
              <w:lastRenderedPageBreak/>
              <w:t xml:space="preserve">(надає доручення </w:t>
            </w:r>
            <w:proofErr w:type="gramStart"/>
            <w:r w:rsidRPr="00E62E4B">
              <w:rPr>
                <w:sz w:val="24"/>
                <w:szCs w:val="24"/>
              </w:rPr>
              <w:t>на</w:t>
            </w:r>
            <w:proofErr w:type="gramEnd"/>
            <w:r w:rsidRPr="00E62E4B">
              <w:rPr>
                <w:sz w:val="24"/>
                <w:szCs w:val="24"/>
              </w:rPr>
              <w:t xml:space="preserve"> допит в іншій місцевості), або відмовляє у задоволенні клопотання та надає постанову про відмову.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За результатами отримання інформації, надати отримані відомості до НІБ та Уповноваженому з питань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>, зниклих безвісти за особливих обставин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Кримінальний процесуальний кодекс України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ВЧ звернулась </w:t>
            </w:r>
            <w:proofErr w:type="gramStart"/>
            <w:r w:rsidRPr="00E62E4B">
              <w:rPr>
                <w:sz w:val="24"/>
                <w:szCs w:val="24"/>
              </w:rPr>
              <w:t>до</w:t>
            </w:r>
            <w:proofErr w:type="gramEnd"/>
            <w:r w:rsidRPr="00E62E4B">
              <w:rPr>
                <w:sz w:val="24"/>
                <w:szCs w:val="24"/>
              </w:rPr>
              <w:t xml:space="preserve"> </w:t>
            </w:r>
            <w:proofErr w:type="gramStart"/>
            <w:r w:rsidRPr="00E62E4B">
              <w:rPr>
                <w:sz w:val="24"/>
                <w:szCs w:val="24"/>
              </w:rPr>
              <w:t>суду</w:t>
            </w:r>
            <w:proofErr w:type="gramEnd"/>
            <w:r w:rsidRPr="00E62E4B">
              <w:rPr>
                <w:sz w:val="24"/>
                <w:szCs w:val="24"/>
              </w:rPr>
              <w:t xml:space="preserve"> з заявою про оголошення особи померлою або про встановлення факту смерті особи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Обов'язково приймати участь в </w:t>
            </w:r>
            <w:proofErr w:type="gramStart"/>
            <w:r w:rsidRPr="00E62E4B">
              <w:rPr>
                <w:sz w:val="24"/>
                <w:szCs w:val="24"/>
              </w:rPr>
              <w:t>судовому</w:t>
            </w:r>
            <w:proofErr w:type="gramEnd"/>
            <w:r w:rsidRPr="00E62E4B">
              <w:rPr>
                <w:sz w:val="24"/>
                <w:szCs w:val="24"/>
              </w:rPr>
              <w:t xml:space="preserve"> засіданні. Залучити представника – адвоката за договором або адвоката системи безоплатної правової допомоги за рахунок держави.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Цивільний процесуальний кодекс України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безоплатну правову допомогу"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Координаційний центр з надання правової допомоги (0800) 213-103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11.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Не надійшло повідомлення про внесення ДНК до центрального </w:t>
            </w:r>
            <w:proofErr w:type="gramStart"/>
            <w:r w:rsidRPr="00E62E4B">
              <w:rPr>
                <w:sz w:val="24"/>
                <w:szCs w:val="24"/>
              </w:rPr>
              <w:t>обл</w:t>
            </w:r>
            <w:proofErr w:type="gramEnd"/>
            <w:r w:rsidRPr="00E62E4B">
              <w:rPr>
                <w:sz w:val="24"/>
                <w:szCs w:val="24"/>
              </w:rPr>
              <w:t xml:space="preserve">іку геномної інформації людини протягом 2-3 місяців з дати здачі </w:t>
            </w:r>
            <w:r w:rsidRPr="00E62E4B">
              <w:rPr>
                <w:sz w:val="24"/>
                <w:szCs w:val="24"/>
              </w:rPr>
              <w:lastRenderedPageBreak/>
              <w:t>біологічного матеріалу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Звернення до слідчого, який розслідує кримінальне провадження, з клопотанням про надсилання запиту до Науково-дослідного експертно-криміналістичного центру МВС України (НДЕКЦ МВС України) у відповідній області та до Державного </w:t>
            </w:r>
            <w:r w:rsidRPr="00E62E4B">
              <w:rPr>
                <w:sz w:val="24"/>
                <w:szCs w:val="24"/>
              </w:rPr>
              <w:lastRenderedPageBreak/>
              <w:t xml:space="preserve">науково-дослідного експертно-криміналістичного центру МВС України (ДНДЕКЦ МВС України) про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ідстави невнесення інформації до центрального обліку.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У разі некоректних біологічних зразків повторно їх здати за направленням слідчого.</w:t>
            </w:r>
            <w:proofErr w:type="gramEnd"/>
            <w:r w:rsidRPr="00E62E4B">
              <w:rPr>
                <w:sz w:val="24"/>
                <w:szCs w:val="24"/>
              </w:rPr>
              <w:t xml:space="preserve"> Кількість повторних здач біологічних зразків не є обмеженою (зазвичай за необхідності 2-3 рази).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Кримінальний процесуальний кодекс України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Встановлено, що зникла безвісти особа вже похована/перепоховання військовослужбовця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Отримати у слідчого, який ідентифікував особу, постанову про встановлення особи. Постанова має містити відомості про те, що тіло (останки) належать певній особі із зазначенням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ІБ та дати народження.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Зареєструвати смерть особи (якщо це не зроблено) в органах ДРАЦС або отримати там же повторне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ідоцтво про смерть.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Звернутись до ТЦК та СП за місцем свого проживання або за місцем поховання особи з заявою про перепоховання з вказівкою місця нового поховання та вказівкою про бажання проведення </w:t>
            </w:r>
            <w:proofErr w:type="gramStart"/>
            <w:r w:rsidRPr="00E62E4B">
              <w:rPr>
                <w:sz w:val="24"/>
                <w:szCs w:val="24"/>
              </w:rPr>
              <w:t>в</w:t>
            </w:r>
            <w:proofErr w:type="gramEnd"/>
            <w:r w:rsidRPr="00E62E4B">
              <w:rPr>
                <w:sz w:val="24"/>
                <w:szCs w:val="24"/>
              </w:rPr>
              <w:t xml:space="preserve">ійськового поховального ритуалу. За наявності бажання проведення </w:t>
            </w:r>
            <w:proofErr w:type="gramStart"/>
            <w:r w:rsidRPr="00E62E4B">
              <w:rPr>
                <w:sz w:val="24"/>
                <w:szCs w:val="24"/>
              </w:rPr>
              <w:t>рел</w:t>
            </w:r>
            <w:proofErr w:type="gramEnd"/>
            <w:r w:rsidRPr="00E62E4B">
              <w:rPr>
                <w:sz w:val="24"/>
                <w:szCs w:val="24"/>
              </w:rPr>
              <w:t xml:space="preserve">ігійного ритуалу </w:t>
            </w:r>
            <w:r w:rsidRPr="00E62E4B">
              <w:rPr>
                <w:sz w:val="24"/>
                <w:szCs w:val="24"/>
              </w:rPr>
              <w:lastRenderedPageBreak/>
              <w:t>повідомити ТЦК та СП.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Дотримуватись вказівок відповідальних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 xml:space="preserve"> ТЦК та СП.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Кримінальний процесуальний кодекс України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Статут гарнізонної та вартової служб Збройних Сил України, додаток 18 </w:t>
            </w:r>
            <w:proofErr w:type="gramStart"/>
            <w:r w:rsidRPr="00E62E4B">
              <w:rPr>
                <w:sz w:val="24"/>
                <w:szCs w:val="24"/>
              </w:rPr>
              <w:t>до</w:t>
            </w:r>
            <w:proofErr w:type="gramEnd"/>
            <w:r w:rsidRPr="00E62E4B">
              <w:rPr>
                <w:sz w:val="24"/>
                <w:szCs w:val="24"/>
              </w:rPr>
              <w:t xml:space="preserve"> Статуту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Варто пам'ятати: витрати на ексгумацію, транспортування, поховання, проведення військового поховального ритуалу проводиться безкоштовно за рахунок бюджету Міноборони України.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При зверненні до Національної поліції з заявою про зникнення особи безвісти </w:t>
            </w:r>
            <w:proofErr w:type="gramStart"/>
            <w:r w:rsidRPr="00E62E4B">
              <w:rPr>
                <w:sz w:val="24"/>
                <w:szCs w:val="24"/>
              </w:rPr>
              <w:t>видається</w:t>
            </w:r>
            <w:proofErr w:type="gramEnd"/>
            <w:r w:rsidRPr="00E62E4B">
              <w:rPr>
                <w:sz w:val="24"/>
                <w:szCs w:val="24"/>
              </w:rPr>
              <w:t xml:space="preserve"> талон-повідомлення, а не витяг з ЄРДР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Слідчий протягом 24 годин з часу отримання </w:t>
            </w:r>
            <w:proofErr w:type="gramStart"/>
            <w:r w:rsidRPr="00E62E4B">
              <w:rPr>
                <w:sz w:val="24"/>
                <w:szCs w:val="24"/>
              </w:rPr>
              <w:t>заяви вносить відомості про зникнення особи до Єдиного реєстру досудових розслідувань</w:t>
            </w:r>
            <w:proofErr w:type="gramEnd"/>
            <w:r w:rsidRPr="00E62E4B">
              <w:rPr>
                <w:sz w:val="24"/>
                <w:szCs w:val="24"/>
              </w:rPr>
              <w:t xml:space="preserve"> (ЄРДР).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При поданні заяви слід отримати талон-повідомлення.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На наступний день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ісля подання заяви необхідно звернутись до чергової частини органу Національної поліції та отримати від слідчого витяг з ЄРДР.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Кримінальний процесуальний кодекс України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14.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Тривалий </w:t>
            </w:r>
            <w:proofErr w:type="gramStart"/>
            <w:r w:rsidRPr="00E62E4B">
              <w:rPr>
                <w:sz w:val="24"/>
                <w:szCs w:val="24"/>
              </w:rPr>
              <w:t>час (б</w:t>
            </w:r>
            <w:proofErr w:type="gramEnd"/>
            <w:r w:rsidRPr="00E62E4B">
              <w:rPr>
                <w:sz w:val="24"/>
                <w:szCs w:val="24"/>
              </w:rPr>
              <w:t>ільше 1,5 місяця) немає відповіді від ТЦК та СП або ВЧ на письмове звернення/не виплачується щомісячного забезпечення військовослужбовця/не надаються документи, необхідні заявникам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Отримати у регіонального координатора електронну адресу ТЦК та СП вищого </w:t>
            </w:r>
            <w:proofErr w:type="gramStart"/>
            <w:r w:rsidRPr="00E62E4B">
              <w:rPr>
                <w:sz w:val="24"/>
                <w:szCs w:val="24"/>
              </w:rPr>
              <w:t>р</w:t>
            </w:r>
            <w:proofErr w:type="gramEnd"/>
            <w:r w:rsidRPr="00E62E4B">
              <w:rPr>
                <w:sz w:val="24"/>
                <w:szCs w:val="24"/>
              </w:rPr>
              <w:t>івня.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Звернутись Генерального штабу ЗС України в письмовій формі та до ТЦК та СП в електронній формі зі скаргою на бездіяльність ТЦК та СП або ВЧ.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</w:t>
            </w:r>
            <w:proofErr w:type="gramStart"/>
            <w:r w:rsidRPr="00E62E4B">
              <w:rPr>
                <w:sz w:val="24"/>
                <w:szCs w:val="24"/>
              </w:rPr>
              <w:t>раз</w:t>
            </w:r>
            <w:proofErr w:type="gramEnd"/>
            <w:r w:rsidRPr="00E62E4B">
              <w:rPr>
                <w:sz w:val="24"/>
                <w:szCs w:val="24"/>
              </w:rPr>
              <w:t xml:space="preserve">і відсутності відповіді протягом 45 календарних днів подати скаргу повторно, </w:t>
            </w:r>
            <w:r w:rsidRPr="00E62E4B">
              <w:rPr>
                <w:sz w:val="24"/>
                <w:szCs w:val="24"/>
              </w:rPr>
              <w:lastRenderedPageBreak/>
              <w:t>повідомити регіонального координатора.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Закон України "Про Дисциплінарний Статут Збройних Сил України"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Положення про територіальні центри комплектування та </w:t>
            </w:r>
            <w:proofErr w:type="gramStart"/>
            <w:r w:rsidRPr="00E62E4B">
              <w:rPr>
                <w:sz w:val="24"/>
                <w:szCs w:val="24"/>
              </w:rPr>
              <w:t>соц</w:t>
            </w:r>
            <w:proofErr w:type="gramEnd"/>
            <w:r w:rsidRPr="00E62E4B">
              <w:rPr>
                <w:sz w:val="24"/>
                <w:szCs w:val="24"/>
              </w:rPr>
              <w:t xml:space="preserve">іальної підтримки, затв. постановою КМ України від </w:t>
            </w:r>
            <w:r w:rsidRPr="00E62E4B">
              <w:rPr>
                <w:sz w:val="24"/>
                <w:szCs w:val="24"/>
              </w:rPr>
              <w:lastRenderedPageBreak/>
              <w:t>23.02.2022р. №154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Заведено декілька кримінальних справ за фактом зникнення однієї людини (за заявою ВЧ, за заявою родичі</w:t>
            </w:r>
            <w:proofErr w:type="gramStart"/>
            <w:r w:rsidRPr="00E62E4B">
              <w:rPr>
                <w:sz w:val="24"/>
                <w:szCs w:val="24"/>
              </w:rPr>
              <w:t>в</w:t>
            </w:r>
            <w:proofErr w:type="gramEnd"/>
            <w:r w:rsidRPr="00E62E4B">
              <w:rPr>
                <w:sz w:val="24"/>
                <w:szCs w:val="24"/>
              </w:rPr>
              <w:t>, за заявою побратимів)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Подати заяву до прокуратури області за місцем подання будь-якої заяви про зникнення </w:t>
            </w:r>
            <w:proofErr w:type="gramStart"/>
            <w:r w:rsidRPr="00E62E4B">
              <w:rPr>
                <w:sz w:val="24"/>
                <w:szCs w:val="24"/>
              </w:rPr>
              <w:t>особи</w:t>
            </w:r>
            <w:proofErr w:type="gramEnd"/>
            <w:r w:rsidRPr="00E62E4B">
              <w:rPr>
                <w:sz w:val="24"/>
                <w:szCs w:val="24"/>
              </w:rPr>
              <w:t xml:space="preserve"> про об'єднання декількох кримінальних проваджень в одне.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До заяви</w:t>
            </w:r>
            <w:proofErr w:type="gramEnd"/>
            <w:r w:rsidRPr="00E62E4B">
              <w:rPr>
                <w:sz w:val="24"/>
                <w:szCs w:val="24"/>
              </w:rPr>
              <w:t xml:space="preserve"> додати наявні відомості про інші кримінальні провадження, незважаючи на місце їх відкриття.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Протягом 3 робочих дні</w:t>
            </w:r>
            <w:proofErr w:type="gramStart"/>
            <w:r w:rsidRPr="00E62E4B">
              <w:rPr>
                <w:sz w:val="24"/>
                <w:szCs w:val="24"/>
              </w:rPr>
              <w:t>в</w:t>
            </w:r>
            <w:proofErr w:type="gramEnd"/>
            <w:r w:rsidRPr="00E62E4B">
              <w:rPr>
                <w:sz w:val="24"/>
                <w:szCs w:val="24"/>
              </w:rPr>
              <w:t xml:space="preserve"> прокурор виносить постанову про об'єднання кримінальних проваджень або про відмову в об'єднанні. Копія постанови або повідомлення надсилається заявнику.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Кримінальний процесуальний кодекс України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16.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Необхідно ознайомитись з кримінальним провадженням, яке розслі</w:t>
            </w:r>
            <w:proofErr w:type="gramStart"/>
            <w:r w:rsidRPr="00E62E4B">
              <w:rPr>
                <w:sz w:val="24"/>
                <w:szCs w:val="24"/>
              </w:rPr>
              <w:t>дується</w:t>
            </w:r>
            <w:proofErr w:type="gramEnd"/>
            <w:r w:rsidRPr="00E62E4B">
              <w:rPr>
                <w:sz w:val="24"/>
                <w:szCs w:val="24"/>
              </w:rPr>
              <w:t xml:space="preserve"> в іншому населеному пункті (у т.ч. за місцем зникнення особи)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Звернутись до </w:t>
            </w:r>
            <w:proofErr w:type="gramStart"/>
            <w:r w:rsidRPr="00E62E4B">
              <w:rPr>
                <w:sz w:val="24"/>
                <w:szCs w:val="24"/>
              </w:rPr>
              <w:t>м</w:t>
            </w:r>
            <w:proofErr w:type="gramEnd"/>
            <w:r w:rsidRPr="00E62E4B">
              <w:rPr>
                <w:sz w:val="24"/>
                <w:szCs w:val="24"/>
              </w:rPr>
              <w:t>ісцевого центру з надання безоплатної вторинної правової допомоги для призначення адвоката за місцем знаходження кримінального провадження.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Місцевий центр БВПД надсилає доручення до місцевого центру за місцем знаходження кримінального провадження, який призначає </w:t>
            </w:r>
            <w:r w:rsidRPr="00E62E4B">
              <w:rPr>
                <w:sz w:val="24"/>
                <w:szCs w:val="24"/>
              </w:rPr>
              <w:lastRenderedPageBreak/>
              <w:t>адвоката та надає йому доручення на ознайомлення з матеріалами справи.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Адвокат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ісля ознайомлення з матеріалами кримінального провадження надсилає всі відскановані (відфотографовані) матеріали на адресу заявника.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</w:t>
            </w:r>
            <w:proofErr w:type="gramStart"/>
            <w:r w:rsidRPr="00E62E4B">
              <w:rPr>
                <w:sz w:val="24"/>
                <w:szCs w:val="24"/>
              </w:rPr>
              <w:t>раз</w:t>
            </w:r>
            <w:proofErr w:type="gramEnd"/>
            <w:r w:rsidRPr="00E62E4B">
              <w:rPr>
                <w:sz w:val="24"/>
                <w:szCs w:val="24"/>
              </w:rPr>
              <w:t>і відмови місцевого центру призначити адвоката повідомити регіонального координатора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Кримінальний процесуальний кодекс України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безоплатну правову допомогу"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Оформлення пенсії по втраті годувальника на час зникнення особи безвісти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Звернутись з письмовою заявою </w:t>
            </w:r>
            <w:proofErr w:type="gramStart"/>
            <w:r w:rsidRPr="00E62E4B">
              <w:rPr>
                <w:sz w:val="24"/>
                <w:szCs w:val="24"/>
              </w:rPr>
              <w:t>до</w:t>
            </w:r>
            <w:proofErr w:type="gramEnd"/>
            <w:r w:rsidRPr="00E62E4B">
              <w:rPr>
                <w:sz w:val="24"/>
                <w:szCs w:val="24"/>
              </w:rPr>
              <w:t xml:space="preserve"> органу Пенсійного фонду України за місцем свого проживання з заявою про нарахування пенсії по втраті годувальника (бланк заяви надає орган ПФУ). </w:t>
            </w:r>
            <w:proofErr w:type="gramStart"/>
            <w:r w:rsidRPr="00E62E4B">
              <w:rPr>
                <w:sz w:val="24"/>
                <w:szCs w:val="24"/>
              </w:rPr>
              <w:t>До заяви</w:t>
            </w:r>
            <w:proofErr w:type="gramEnd"/>
            <w:r w:rsidRPr="00E62E4B">
              <w:rPr>
                <w:sz w:val="24"/>
                <w:szCs w:val="24"/>
              </w:rPr>
              <w:t xml:space="preserve"> додати: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сповіщення про зниклого безвісти;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ідоцтво про народження дітей (для пенсії на дітей);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ідоцтво про народження зниклої особи (для пенсії на батьків);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витяг з ЄРДР станом на поточну дату та довідку від слідчого, що людина знаходиться в розшуку як </w:t>
            </w:r>
            <w:r w:rsidRPr="00E62E4B">
              <w:rPr>
                <w:sz w:val="24"/>
                <w:szCs w:val="24"/>
              </w:rPr>
              <w:lastRenderedPageBreak/>
              <w:t>зниклий безвісти за особливих обставин;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паспорти, І</w:t>
            </w:r>
            <w:proofErr w:type="gramStart"/>
            <w:r w:rsidRPr="00E62E4B">
              <w:rPr>
                <w:sz w:val="24"/>
                <w:szCs w:val="24"/>
              </w:rPr>
              <w:t>ПН</w:t>
            </w:r>
            <w:proofErr w:type="gramEnd"/>
            <w:r w:rsidRPr="00E62E4B">
              <w:rPr>
                <w:sz w:val="24"/>
                <w:szCs w:val="24"/>
              </w:rPr>
              <w:t xml:space="preserve"> заявників, відомості про місце проживання.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разі відмови у нарахуванні пенсії отримати письмову відмову органу ПФУ, надати її регіональному координатору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Закон України "Про правовий статус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>, зниклих безвісти за особливих обставин"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загальнообов'язкове державне пенсійне страхування"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Отримання посвідчення члена сім'ї особи, зниклої безвісти за особливих обставин для отримання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ільг, у т.ч. на проїзд громадським транспортом та на сплату житлово-комунальних послуг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Батьки/дружина або чоловік/діти мають право на отримання посвідчення.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Звернутись до ТЦК та СП за місцем свого проживання з заявою про видачу відповідного посвідчення.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До заяви</w:t>
            </w:r>
            <w:proofErr w:type="gramEnd"/>
            <w:r w:rsidRPr="00E62E4B">
              <w:rPr>
                <w:sz w:val="24"/>
                <w:szCs w:val="24"/>
              </w:rPr>
              <w:t xml:space="preserve"> додати: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паспорт (</w:t>
            </w:r>
            <w:proofErr w:type="gramStart"/>
            <w:r w:rsidRPr="00E62E4B">
              <w:rPr>
                <w:sz w:val="24"/>
                <w:szCs w:val="24"/>
              </w:rPr>
              <w:t>св</w:t>
            </w:r>
            <w:proofErr w:type="gramEnd"/>
            <w:r w:rsidRPr="00E62E4B">
              <w:rPr>
                <w:sz w:val="24"/>
                <w:szCs w:val="24"/>
              </w:rPr>
              <w:t>ідоцтво про народження) та ІПН члена сім'ї, якому видається посвідчення;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сповіщення ТЦК та СП про зникнення особи безвісти.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У разі відмови звернутись до ТЦК та СП вищого </w:t>
            </w:r>
            <w:proofErr w:type="gramStart"/>
            <w:r w:rsidRPr="00E62E4B">
              <w:rPr>
                <w:sz w:val="24"/>
                <w:szCs w:val="24"/>
              </w:rPr>
              <w:t>р</w:t>
            </w:r>
            <w:proofErr w:type="gramEnd"/>
            <w:r w:rsidRPr="00E62E4B">
              <w:rPr>
                <w:sz w:val="24"/>
                <w:szCs w:val="24"/>
              </w:rPr>
              <w:t>івня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 xml:space="preserve">ісля отримання посвідчення звернутись до органів </w:t>
            </w:r>
            <w:r w:rsidRPr="00E62E4B">
              <w:rPr>
                <w:sz w:val="24"/>
                <w:szCs w:val="24"/>
              </w:rPr>
              <w:lastRenderedPageBreak/>
              <w:t>місцевого самоврядування для оформлення пільг.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Постанова КМ України "Про посвідчення на право користування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ільгами членів сімей військовослужбовців, які загинули (померли) чи пропали безвісти під час проходження військової служби" від 28.05.1993р. №379.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Відмова ТЦК та СП у надісланні звернень до військових частин ДПСУ, НГУ, ТРО тощо/ТЦК та СП не надає сповіщення про зниклих безвісти військовослужбовці</w:t>
            </w:r>
            <w:proofErr w:type="gramStart"/>
            <w:r w:rsidRPr="00E62E4B">
              <w:rPr>
                <w:sz w:val="24"/>
                <w:szCs w:val="24"/>
              </w:rPr>
              <w:t>в</w:t>
            </w:r>
            <w:proofErr w:type="gramEnd"/>
            <w:r w:rsidRPr="00E62E4B">
              <w:rPr>
                <w:sz w:val="24"/>
                <w:szCs w:val="24"/>
              </w:rPr>
              <w:t xml:space="preserve"> НГУ та ДПСУ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Вимагати від ТЦК та СП письмову відмову у прийнятті заяви (надсиланні запиту) із зазначенням причин відмови.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ісля отримання письмової відмови звернутись до ТЦК та СП вищого рівня, Генерального штабу ЗС України. Письмову відмову надати регіональному координатору.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Закон України "Про звернення громадян",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Інструкція з організації обліку особового складу</w:t>
            </w:r>
            <w:proofErr w:type="gramStart"/>
            <w:r w:rsidRPr="00E62E4B">
              <w:rPr>
                <w:sz w:val="24"/>
                <w:szCs w:val="24"/>
              </w:rPr>
              <w:t xml:space="preserve"> Д</w:t>
            </w:r>
            <w:proofErr w:type="gramEnd"/>
            <w:r w:rsidRPr="00E62E4B">
              <w:rPr>
                <w:sz w:val="24"/>
                <w:szCs w:val="24"/>
              </w:rPr>
              <w:t>ержавної прикордонної служби України, затв. наказом МВС України від 6.06.2017р. №468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Інструкція з організації </w:t>
            </w:r>
            <w:proofErr w:type="gramStart"/>
            <w:r w:rsidRPr="00E62E4B">
              <w:rPr>
                <w:sz w:val="24"/>
                <w:szCs w:val="24"/>
              </w:rPr>
              <w:t>обл</w:t>
            </w:r>
            <w:proofErr w:type="gramEnd"/>
            <w:r w:rsidRPr="00E62E4B">
              <w:rPr>
                <w:sz w:val="24"/>
                <w:szCs w:val="24"/>
              </w:rPr>
              <w:t>іку особового складу Національної гвардії України, затв. наказом МВС України від 30.01.2017р. №73</w:t>
            </w:r>
          </w:p>
        </w:tc>
      </w:tr>
      <w:tr w:rsidR="00306E60" w:rsidRPr="00E62E4B" w:rsidTr="00306E60">
        <w:tc>
          <w:tcPr>
            <w:tcW w:w="780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20.</w:t>
            </w:r>
          </w:p>
        </w:tc>
        <w:tc>
          <w:tcPr>
            <w:tcW w:w="339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Звернення від членів сім'ї зниклих безвісти, громадських організацій щодо проведення </w:t>
            </w:r>
            <w:proofErr w:type="gramStart"/>
            <w:r w:rsidRPr="00E62E4B">
              <w:rPr>
                <w:sz w:val="24"/>
                <w:szCs w:val="24"/>
              </w:rPr>
              <w:t>зустр</w:t>
            </w:r>
            <w:proofErr w:type="gramEnd"/>
            <w:r w:rsidRPr="00E62E4B">
              <w:rPr>
                <w:sz w:val="24"/>
                <w:szCs w:val="24"/>
              </w:rPr>
              <w:t xml:space="preserve">ічей Уповноваженим з питань осіб, зниклих безвісти за особливих обставин або його </w:t>
            </w:r>
            <w:r w:rsidRPr="00E62E4B">
              <w:rPr>
                <w:sz w:val="24"/>
                <w:szCs w:val="24"/>
              </w:rPr>
              <w:lastRenderedPageBreak/>
              <w:t>представниками</w:t>
            </w:r>
          </w:p>
        </w:tc>
        <w:tc>
          <w:tcPr>
            <w:tcW w:w="70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>Надати регіональному координатору перелі</w:t>
            </w:r>
            <w:proofErr w:type="gramStart"/>
            <w:r w:rsidRPr="00E62E4B">
              <w:rPr>
                <w:sz w:val="24"/>
                <w:szCs w:val="24"/>
              </w:rPr>
              <w:t>к</w:t>
            </w:r>
            <w:proofErr w:type="gramEnd"/>
            <w:r w:rsidRPr="00E62E4B">
              <w:rPr>
                <w:sz w:val="24"/>
                <w:szCs w:val="24"/>
              </w:rPr>
              <w:t xml:space="preserve"> осіб у формі таблиці, які бажають прийняти участь у зустрічі, із зазначенням: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ІБ члена сім'ї;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 xml:space="preserve">- </w:t>
            </w:r>
            <w:proofErr w:type="gramStart"/>
            <w:r w:rsidRPr="00E62E4B">
              <w:rPr>
                <w:sz w:val="24"/>
                <w:szCs w:val="24"/>
              </w:rPr>
              <w:t>П</w:t>
            </w:r>
            <w:proofErr w:type="gramEnd"/>
            <w:r w:rsidRPr="00E62E4B">
              <w:rPr>
                <w:sz w:val="24"/>
                <w:szCs w:val="24"/>
              </w:rPr>
              <w:t>ІБ зниклої особи;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t>- запитань, які є у члена сі</w:t>
            </w:r>
            <w:proofErr w:type="gramStart"/>
            <w:r w:rsidRPr="00E62E4B">
              <w:rPr>
                <w:sz w:val="24"/>
                <w:szCs w:val="24"/>
              </w:rPr>
              <w:t>м</w:t>
            </w:r>
            <w:proofErr w:type="gramEnd"/>
            <w:r w:rsidRPr="00E62E4B">
              <w:rPr>
                <w:sz w:val="24"/>
                <w:szCs w:val="24"/>
              </w:rPr>
              <w:t>'ї</w:t>
            </w:r>
          </w:p>
          <w:p w:rsidR="00306E6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Про проведення колективної зустрічі Уповноважений повідомляє регіонального координатора та ініціатора зустрічі. </w:t>
            </w: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разі відсутності необхідності або можливості проведення колективної зустрічі, ініціатору пропонується індивідуальна зустріч з Уповноваженим або представниками. Дата та час, порядок проведення (очно або онлайн), перелік додатково запрошених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 xml:space="preserve"> (за необхідності) узгоджуються з ініціатором та регіональним координатором.</w:t>
            </w:r>
          </w:p>
          <w:p w:rsidR="008A2500" w:rsidRPr="00E62E4B" w:rsidRDefault="00306E60" w:rsidP="00306E60">
            <w:pPr>
              <w:rPr>
                <w:sz w:val="24"/>
                <w:szCs w:val="24"/>
              </w:rPr>
            </w:pPr>
            <w:proofErr w:type="gramStart"/>
            <w:r w:rsidRPr="00E62E4B">
              <w:rPr>
                <w:sz w:val="24"/>
                <w:szCs w:val="24"/>
              </w:rPr>
              <w:t>У</w:t>
            </w:r>
            <w:proofErr w:type="gramEnd"/>
            <w:r w:rsidRPr="00E62E4B">
              <w:rPr>
                <w:sz w:val="24"/>
                <w:szCs w:val="24"/>
              </w:rPr>
              <w:t xml:space="preserve"> разі проведення зустрічі в регіоні, відповідальність за організацію зустрічі, запрошення учасників, оголошення про зустріч тощо, несе регіональний координатор.</w:t>
            </w:r>
          </w:p>
        </w:tc>
        <w:tc>
          <w:tcPr>
            <w:tcW w:w="35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A2500" w:rsidRPr="00E62E4B" w:rsidRDefault="00306E60" w:rsidP="00306E60">
            <w:pPr>
              <w:rPr>
                <w:sz w:val="24"/>
                <w:szCs w:val="24"/>
              </w:rPr>
            </w:pPr>
            <w:r w:rsidRPr="00E62E4B">
              <w:rPr>
                <w:sz w:val="24"/>
                <w:szCs w:val="24"/>
              </w:rPr>
              <w:lastRenderedPageBreak/>
              <w:t xml:space="preserve">Положення про Консультативну раду Уповноваженого з питань </w:t>
            </w:r>
            <w:proofErr w:type="gramStart"/>
            <w:r w:rsidRPr="00E62E4B">
              <w:rPr>
                <w:sz w:val="24"/>
                <w:szCs w:val="24"/>
              </w:rPr>
              <w:t>осіб</w:t>
            </w:r>
            <w:proofErr w:type="gramEnd"/>
            <w:r w:rsidRPr="00E62E4B">
              <w:rPr>
                <w:sz w:val="24"/>
                <w:szCs w:val="24"/>
              </w:rPr>
              <w:t>, зниклих безвісти за особливих обставин, затв. наказом Мінреінтеграції №186 від 16.08.2022р.</w:t>
            </w:r>
          </w:p>
        </w:tc>
      </w:tr>
    </w:tbl>
    <w:p w:rsidR="004B56C1" w:rsidRPr="00306E60" w:rsidRDefault="004B56C1">
      <w:pPr>
        <w:rPr>
          <w:sz w:val="16"/>
          <w:szCs w:val="16"/>
        </w:rPr>
      </w:pPr>
    </w:p>
    <w:sectPr w:rsidR="004B56C1" w:rsidRPr="00306E60" w:rsidSect="00306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0"/>
    <w:rsid w:val="00306E60"/>
    <w:rsid w:val="004B56C1"/>
    <w:rsid w:val="008A2500"/>
    <w:rsid w:val="00E62E4B"/>
    <w:rsid w:val="00E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5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2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21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4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PERSON</cp:lastModifiedBy>
  <cp:revision>3</cp:revision>
  <dcterms:created xsi:type="dcterms:W3CDTF">2023-05-23T06:59:00Z</dcterms:created>
  <dcterms:modified xsi:type="dcterms:W3CDTF">2023-05-23T07:19:00Z</dcterms:modified>
</cp:coreProperties>
</file>